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E26" w:rsidRDefault="004B650B">
      <w:pPr>
        <w:rPr>
          <w:sz w:val="28"/>
          <w:szCs w:val="28"/>
        </w:rPr>
      </w:pPr>
      <w:r>
        <w:rPr>
          <w:sz w:val="28"/>
          <w:szCs w:val="28"/>
        </w:rPr>
        <w:t xml:space="preserve">Paul Green </w:t>
      </w:r>
      <w:proofErr w:type="spellStart"/>
      <w:r>
        <w:rPr>
          <w:sz w:val="28"/>
          <w:szCs w:val="28"/>
        </w:rPr>
        <w:t>Chpt</w:t>
      </w:r>
      <w:proofErr w:type="spellEnd"/>
      <w:r>
        <w:rPr>
          <w:sz w:val="28"/>
          <w:szCs w:val="28"/>
        </w:rPr>
        <w:t xml:space="preserve"> #6 Activity,</w:t>
      </w:r>
    </w:p>
    <w:p w:rsidR="004F6945" w:rsidRPr="00F76E26" w:rsidRDefault="001C6DD9">
      <w:pPr>
        <w:rPr>
          <w:sz w:val="28"/>
          <w:szCs w:val="28"/>
        </w:rPr>
      </w:pPr>
      <w:r w:rsidRPr="00F76E26">
        <w:rPr>
          <w:sz w:val="28"/>
          <w:szCs w:val="28"/>
        </w:rPr>
        <w:t xml:space="preserve">Based on the concepts discussed in Chapter 6 of the </w:t>
      </w:r>
      <w:r w:rsidRPr="00A767CD">
        <w:rPr>
          <w:i/>
          <w:sz w:val="28"/>
          <w:szCs w:val="28"/>
        </w:rPr>
        <w:t>Doing History</w:t>
      </w:r>
      <w:r w:rsidRPr="00F76E26">
        <w:rPr>
          <w:sz w:val="28"/>
          <w:szCs w:val="28"/>
        </w:rPr>
        <w:t xml:space="preserve"> textbook each group will read a passage and analyze this for the following characteristics:</w:t>
      </w:r>
    </w:p>
    <w:p w:rsidR="004B7976" w:rsidRDefault="001C6DD9" w:rsidP="001C6DD9">
      <w:pPr>
        <w:pStyle w:val="ListParagraph"/>
        <w:numPr>
          <w:ilvl w:val="0"/>
          <w:numId w:val="1"/>
        </w:numPr>
        <w:rPr>
          <w:sz w:val="28"/>
          <w:szCs w:val="28"/>
        </w:rPr>
      </w:pPr>
      <w:r w:rsidRPr="00F76E26">
        <w:rPr>
          <w:sz w:val="28"/>
          <w:szCs w:val="28"/>
        </w:rPr>
        <w:t>Describe characteristics of disciplined inquiry and in-depth understanding.</w:t>
      </w:r>
    </w:p>
    <w:p w:rsidR="004B650B" w:rsidRPr="004B650B" w:rsidRDefault="004B7976" w:rsidP="004B650B">
      <w:pPr>
        <w:ind w:left="360"/>
        <w:rPr>
          <w:i/>
          <w:sz w:val="28"/>
          <w:szCs w:val="28"/>
        </w:rPr>
      </w:pPr>
      <w:r w:rsidRPr="004B650B">
        <w:rPr>
          <w:sz w:val="28"/>
          <w:szCs w:val="28"/>
        </w:rPr>
        <w:tab/>
      </w:r>
      <w:r w:rsidR="004B650B">
        <w:rPr>
          <w:sz w:val="28"/>
          <w:szCs w:val="28"/>
        </w:rPr>
        <w:tab/>
      </w:r>
      <w:proofErr w:type="gramStart"/>
      <w:r w:rsidRPr="004B650B">
        <w:rPr>
          <w:i/>
          <w:sz w:val="28"/>
          <w:szCs w:val="28"/>
        </w:rPr>
        <w:t>Gaining meaning through questions.</w:t>
      </w:r>
      <w:proofErr w:type="gramEnd"/>
      <w:r w:rsidRPr="004B650B">
        <w:rPr>
          <w:i/>
          <w:sz w:val="28"/>
          <w:szCs w:val="28"/>
        </w:rPr>
        <w:t xml:space="preserve">  Thinking at a higher level.  “Was Christopher Columbus famous, and if so Why?” </w:t>
      </w:r>
      <w:r w:rsidR="004B650B">
        <w:rPr>
          <w:i/>
          <w:sz w:val="28"/>
          <w:szCs w:val="28"/>
        </w:rPr>
        <w:t xml:space="preserve"> Questions lead to research and investigation, different types of inquiry are as follows.</w:t>
      </w:r>
    </w:p>
    <w:tbl>
      <w:tblPr>
        <w:tblW w:w="9160" w:type="dxa"/>
        <w:tblBorders>
          <w:top w:val="single" w:sz="8" w:space="0" w:color="6D6D6D"/>
          <w:left w:val="single" w:sz="8" w:space="0" w:color="6D6D6D"/>
          <w:right w:val="single" w:sz="8" w:space="0" w:color="6D6D6D"/>
        </w:tblBorders>
        <w:tblLayout w:type="fixed"/>
        <w:tblLook w:val="0000"/>
      </w:tblPr>
      <w:tblGrid>
        <w:gridCol w:w="4726"/>
        <w:gridCol w:w="4434"/>
      </w:tblGrid>
      <w:tr w:rsidR="004B650B" w:rsidRPr="004B650B">
        <w:tblPrEx>
          <w:tblCellMar>
            <w:top w:w="0" w:type="dxa"/>
            <w:bottom w:w="0" w:type="dxa"/>
          </w:tblCellMar>
        </w:tblPrEx>
        <w:tc>
          <w:tcPr>
            <w:tcW w:w="4532" w:type="dxa"/>
            <w:tcBorders>
              <w:top w:val="single" w:sz="22" w:space="0" w:color="000000"/>
              <w:left w:val="single" w:sz="13" w:space="0" w:color="000000"/>
              <w:bottom w:val="single" w:sz="8" w:space="0" w:color="6D6D6D"/>
              <w:right w:val="single" w:sz="8" w:space="0" w:color="6D6D6D"/>
            </w:tcBorders>
            <w:tcMar>
              <w:top w:w="144" w:type="nil"/>
              <w:right w:w="144" w:type="nil"/>
            </w:tcMar>
            <w:vAlign w:val="cente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b/>
                <w:bCs/>
                <w:color w:val="474747"/>
                <w:sz w:val="26"/>
                <w:szCs w:val="26"/>
              </w:rPr>
              <w:t>Level of Inquiry</w:t>
            </w:r>
          </w:p>
        </w:tc>
        <w:tc>
          <w:tcPr>
            <w:tcW w:w="4252" w:type="dxa"/>
            <w:tcBorders>
              <w:top w:val="single" w:sz="22" w:space="0" w:color="474747"/>
              <w:bottom w:val="single" w:sz="10" w:space="0" w:color="474747"/>
              <w:right w:val="single" w:sz="11" w:space="0" w:color="474747"/>
            </w:tcBorders>
            <w:tcMar>
              <w:top w:w="144" w:type="nil"/>
              <w:right w:w="144" w:type="nil"/>
            </w:tcMar>
            <w:vAlign w:val="cente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b/>
                <w:bCs/>
                <w:color w:val="474747"/>
                <w:sz w:val="26"/>
                <w:szCs w:val="26"/>
              </w:rPr>
              <w:t>Description</w:t>
            </w:r>
          </w:p>
        </w:tc>
      </w:tr>
      <w:tr w:rsidR="004B650B" w:rsidRPr="004B650B">
        <w:tblPrEx>
          <w:tblBorders>
            <w:top w:val="none" w:sz="0" w:space="0" w:color="auto"/>
          </w:tblBorders>
          <w:tblCellMar>
            <w:top w:w="0" w:type="dxa"/>
            <w:bottom w:w="0" w:type="dxa"/>
          </w:tblCellMar>
        </w:tblPrEx>
        <w:tc>
          <w:tcPr>
            <w:tcW w:w="4532" w:type="dxa"/>
            <w:tcBorders>
              <w:left w:val="single" w:sz="13" w:space="0" w:color="474747"/>
              <w:bottom w:val="single" w:sz="11" w:space="0" w:color="474747"/>
              <w:right w:val="single" w:sz="13"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Confirmation/Verification</w:t>
            </w:r>
          </w:p>
        </w:tc>
        <w:tc>
          <w:tcPr>
            <w:tcW w:w="4252" w:type="dxa"/>
            <w:tcBorders>
              <w:bottom w:val="single" w:sz="11" w:space="0" w:color="474747"/>
              <w:right w:val="single" w:sz="11"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Confirmation of a principle through an activity when the results are known in advance</w:t>
            </w:r>
          </w:p>
        </w:tc>
      </w:tr>
      <w:tr w:rsidR="004B650B" w:rsidRPr="004B650B">
        <w:tblPrEx>
          <w:tblBorders>
            <w:top w:val="none" w:sz="0" w:space="0" w:color="auto"/>
          </w:tblBorders>
          <w:tblCellMar>
            <w:top w:w="0" w:type="dxa"/>
            <w:bottom w:w="0" w:type="dxa"/>
          </w:tblCellMar>
        </w:tblPrEx>
        <w:tc>
          <w:tcPr>
            <w:tcW w:w="4532" w:type="dxa"/>
            <w:tcBorders>
              <w:left w:val="single" w:sz="13" w:space="0" w:color="474747"/>
              <w:bottom w:val="single" w:sz="13" w:space="0" w:color="474747"/>
              <w:right w:val="single" w:sz="13"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Structured Inquiry</w:t>
            </w:r>
          </w:p>
        </w:tc>
        <w:tc>
          <w:tcPr>
            <w:tcW w:w="4252" w:type="dxa"/>
            <w:tcBorders>
              <w:bottom w:val="single" w:sz="13" w:space="0" w:color="474747"/>
              <w:right w:val="single" w:sz="11"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Investigation of a presented question using a teacher-prescribed process</w:t>
            </w:r>
          </w:p>
        </w:tc>
      </w:tr>
      <w:tr w:rsidR="004B650B" w:rsidRPr="004B650B">
        <w:tblPrEx>
          <w:tblBorders>
            <w:top w:val="none" w:sz="0" w:space="0" w:color="auto"/>
          </w:tblBorders>
          <w:tblCellMar>
            <w:top w:w="0" w:type="dxa"/>
            <w:bottom w:w="0" w:type="dxa"/>
          </w:tblCellMar>
        </w:tblPrEx>
        <w:tc>
          <w:tcPr>
            <w:tcW w:w="4532" w:type="dxa"/>
            <w:tcBorders>
              <w:left w:val="single" w:sz="13" w:space="0" w:color="474747"/>
              <w:bottom w:val="single" w:sz="13" w:space="0" w:color="474747"/>
              <w:right w:val="single" w:sz="13"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Guided Inquiry</w:t>
            </w:r>
          </w:p>
        </w:tc>
        <w:tc>
          <w:tcPr>
            <w:tcW w:w="4252" w:type="dxa"/>
            <w:tcBorders>
              <w:bottom w:val="single" w:sz="13" w:space="0" w:color="474747"/>
              <w:right w:val="single" w:sz="11"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Investigation of a presented question using student-designed process</w:t>
            </w:r>
          </w:p>
        </w:tc>
      </w:tr>
      <w:tr w:rsidR="004B650B" w:rsidRPr="004B650B">
        <w:tblPrEx>
          <w:tblBorders>
            <w:top w:val="none" w:sz="0" w:space="0" w:color="auto"/>
            <w:bottom w:val="single" w:sz="8" w:space="0" w:color="6D6D6D"/>
          </w:tblBorders>
          <w:tblCellMar>
            <w:top w:w="0" w:type="dxa"/>
            <w:bottom w:w="0" w:type="dxa"/>
          </w:tblCellMar>
        </w:tblPrEx>
        <w:tc>
          <w:tcPr>
            <w:tcW w:w="4532" w:type="dxa"/>
            <w:tcBorders>
              <w:left w:val="single" w:sz="13" w:space="0" w:color="474747"/>
              <w:bottom w:val="single" w:sz="22" w:space="0" w:color="474747"/>
              <w:right w:val="single" w:sz="13"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Open Inquiry</w:t>
            </w:r>
          </w:p>
        </w:tc>
        <w:tc>
          <w:tcPr>
            <w:tcW w:w="4252" w:type="dxa"/>
            <w:tcBorders>
              <w:bottom w:val="single" w:sz="22" w:space="0" w:color="474747"/>
              <w:right w:val="single" w:sz="11" w:space="0" w:color="474747"/>
            </w:tcBorders>
            <w:tcMar>
              <w:top w:w="144" w:type="nil"/>
              <w:right w:w="144" w:type="nil"/>
            </w:tcMar>
          </w:tcPr>
          <w:p w:rsidR="004B650B" w:rsidRPr="004B650B" w:rsidRDefault="004B650B" w:rsidP="004B650B">
            <w:pPr>
              <w:widowControl w:val="0"/>
              <w:autoSpaceDE w:val="0"/>
              <w:autoSpaceDN w:val="0"/>
              <w:adjustRightInd w:val="0"/>
              <w:spacing w:after="0"/>
              <w:rPr>
                <w:rFonts w:ascii="Verdana" w:hAnsi="Verdana" w:cs="Verdana"/>
                <w:color w:val="474747"/>
                <w:sz w:val="26"/>
                <w:szCs w:val="26"/>
              </w:rPr>
            </w:pPr>
            <w:r w:rsidRPr="004B650B">
              <w:rPr>
                <w:rFonts w:ascii="Verdana" w:hAnsi="Verdana" w:cs="Verdana"/>
                <w:color w:val="474747"/>
                <w:sz w:val="26"/>
                <w:szCs w:val="26"/>
              </w:rPr>
              <w:t>Investigation of a student-formulated question using student-selected process</w:t>
            </w:r>
          </w:p>
        </w:tc>
      </w:tr>
    </w:tbl>
    <w:p w:rsidR="001C6DD9" w:rsidRDefault="001C6DD9" w:rsidP="001C6DD9">
      <w:pPr>
        <w:pStyle w:val="ListParagraph"/>
        <w:numPr>
          <w:ilvl w:val="0"/>
          <w:numId w:val="1"/>
        </w:numPr>
        <w:rPr>
          <w:sz w:val="28"/>
          <w:szCs w:val="28"/>
        </w:rPr>
      </w:pPr>
    </w:p>
    <w:p w:rsidR="00514268" w:rsidRDefault="00514268" w:rsidP="00514268">
      <w:pPr>
        <w:pStyle w:val="ListParagraph"/>
        <w:rPr>
          <w:sz w:val="28"/>
          <w:szCs w:val="28"/>
        </w:rPr>
      </w:pPr>
    </w:p>
    <w:p w:rsidR="004F6945" w:rsidRDefault="00514268" w:rsidP="00514268">
      <w:pPr>
        <w:pStyle w:val="ListParagraph"/>
        <w:numPr>
          <w:ilvl w:val="0"/>
          <w:numId w:val="1"/>
        </w:numPr>
        <w:rPr>
          <w:sz w:val="28"/>
          <w:szCs w:val="28"/>
        </w:rPr>
      </w:pPr>
      <w:r>
        <w:rPr>
          <w:sz w:val="28"/>
          <w:szCs w:val="28"/>
        </w:rPr>
        <w:t>Describe examples of primary sources used</w:t>
      </w:r>
    </w:p>
    <w:p w:rsidR="00514268" w:rsidRPr="004B650B" w:rsidRDefault="004F6945" w:rsidP="004B650B">
      <w:pPr>
        <w:ind w:left="360"/>
        <w:rPr>
          <w:i/>
          <w:sz w:val="28"/>
          <w:szCs w:val="28"/>
        </w:rPr>
      </w:pPr>
      <w:r w:rsidRPr="004B650B">
        <w:rPr>
          <w:sz w:val="28"/>
          <w:szCs w:val="28"/>
        </w:rPr>
        <w:tab/>
      </w:r>
      <w:r w:rsidR="004B650B">
        <w:rPr>
          <w:sz w:val="28"/>
          <w:szCs w:val="28"/>
        </w:rPr>
        <w:tab/>
      </w:r>
      <w:r w:rsidRPr="004B650B">
        <w:rPr>
          <w:i/>
          <w:sz w:val="28"/>
          <w:szCs w:val="28"/>
        </w:rPr>
        <w:t>Demographic Data, newspapers, photographs and trade books that represent different perspectives were put in an archive, relevant to the country, or section of history students would be investigating on.   Also included was a set of questions to guide students search and analysis of each source.</w:t>
      </w:r>
    </w:p>
    <w:p w:rsidR="001C6DD9" w:rsidRPr="00F76E26" w:rsidRDefault="001C6DD9" w:rsidP="001C6DD9">
      <w:pPr>
        <w:pStyle w:val="ListParagraph"/>
        <w:rPr>
          <w:sz w:val="28"/>
          <w:szCs w:val="28"/>
        </w:rPr>
      </w:pPr>
    </w:p>
    <w:p w:rsidR="001C6DD9" w:rsidRPr="004B650B" w:rsidRDefault="001C6DD9" w:rsidP="001C6DD9">
      <w:pPr>
        <w:pStyle w:val="ListParagraph"/>
        <w:numPr>
          <w:ilvl w:val="0"/>
          <w:numId w:val="1"/>
        </w:numPr>
        <w:rPr>
          <w:sz w:val="28"/>
          <w:szCs w:val="28"/>
        </w:rPr>
      </w:pPr>
      <w:r w:rsidRPr="00F76E26">
        <w:rPr>
          <w:sz w:val="28"/>
          <w:szCs w:val="28"/>
        </w:rPr>
        <w:t>Provide examples of application of GRASP frame.</w:t>
      </w:r>
    </w:p>
    <w:p w:rsidR="001C6DD9" w:rsidRPr="00F76E26" w:rsidRDefault="001C6DD9" w:rsidP="001C6DD9">
      <w:pPr>
        <w:pStyle w:val="ListParagraph"/>
        <w:rPr>
          <w:sz w:val="28"/>
          <w:szCs w:val="28"/>
        </w:rPr>
      </w:pPr>
    </w:p>
    <w:p w:rsidR="00172120" w:rsidRDefault="001C6DD9" w:rsidP="001C6DD9">
      <w:pPr>
        <w:pStyle w:val="ListParagraph"/>
        <w:numPr>
          <w:ilvl w:val="0"/>
          <w:numId w:val="1"/>
        </w:numPr>
        <w:rPr>
          <w:sz w:val="28"/>
          <w:szCs w:val="28"/>
        </w:rPr>
      </w:pPr>
      <w:r w:rsidRPr="00F76E26">
        <w:rPr>
          <w:sz w:val="28"/>
          <w:szCs w:val="28"/>
        </w:rPr>
        <w:t>Describe examples of enduring understandings and essential questions</w:t>
      </w:r>
    </w:p>
    <w:p w:rsidR="001C6DD9" w:rsidRPr="004B650B" w:rsidRDefault="00172120" w:rsidP="004B650B">
      <w:pPr>
        <w:ind w:left="360"/>
        <w:rPr>
          <w:i/>
          <w:sz w:val="28"/>
          <w:szCs w:val="28"/>
        </w:rPr>
      </w:pPr>
      <w:r w:rsidRPr="004B650B">
        <w:rPr>
          <w:sz w:val="28"/>
          <w:szCs w:val="28"/>
        </w:rPr>
        <w:tab/>
      </w:r>
      <w:r w:rsidR="004B650B">
        <w:rPr>
          <w:sz w:val="28"/>
          <w:szCs w:val="28"/>
        </w:rPr>
        <w:tab/>
      </w:r>
      <w:r w:rsidRPr="004B650B">
        <w:rPr>
          <w:i/>
          <w:sz w:val="28"/>
          <w:szCs w:val="28"/>
        </w:rPr>
        <w:t xml:space="preserve">Asking questions, challenging the known or certain held beliefs and ideas.  Seeking different sources and opinions, testing hypothesis, and challenging different schemas. </w:t>
      </w:r>
    </w:p>
    <w:p w:rsidR="001C6DD9" w:rsidRPr="00F76E26" w:rsidRDefault="001C6DD9" w:rsidP="001C6DD9">
      <w:pPr>
        <w:pStyle w:val="ListParagraph"/>
        <w:rPr>
          <w:sz w:val="28"/>
          <w:szCs w:val="28"/>
        </w:rPr>
      </w:pPr>
    </w:p>
    <w:p w:rsidR="00172120" w:rsidRDefault="001C6DD9" w:rsidP="001C6DD9">
      <w:pPr>
        <w:pStyle w:val="ListParagraph"/>
        <w:numPr>
          <w:ilvl w:val="0"/>
          <w:numId w:val="1"/>
        </w:numPr>
        <w:rPr>
          <w:sz w:val="28"/>
          <w:szCs w:val="28"/>
        </w:rPr>
      </w:pPr>
      <w:r w:rsidRPr="00F76E26">
        <w:rPr>
          <w:sz w:val="28"/>
          <w:szCs w:val="28"/>
        </w:rPr>
        <w:t>Describe examples of what students should know and be able to do.</w:t>
      </w:r>
    </w:p>
    <w:p w:rsidR="001C6DD9" w:rsidRPr="004B650B" w:rsidRDefault="00172120" w:rsidP="004B650B">
      <w:pPr>
        <w:ind w:left="360"/>
        <w:rPr>
          <w:i/>
          <w:sz w:val="28"/>
          <w:szCs w:val="28"/>
        </w:rPr>
      </w:pPr>
      <w:r w:rsidRPr="004B650B">
        <w:rPr>
          <w:sz w:val="28"/>
          <w:szCs w:val="28"/>
        </w:rPr>
        <w:tab/>
      </w:r>
      <w:r w:rsidR="004B650B">
        <w:rPr>
          <w:sz w:val="28"/>
          <w:szCs w:val="28"/>
        </w:rPr>
        <w:tab/>
      </w:r>
      <w:r w:rsidRPr="004B650B">
        <w:rPr>
          <w:i/>
          <w:sz w:val="28"/>
          <w:szCs w:val="28"/>
        </w:rPr>
        <w:t>Students should be able to reflect on how perspective or points of view influence historical interpretation.  Assess which perspectives the curriculum most closely reflects in developing historical understanding.</w:t>
      </w:r>
    </w:p>
    <w:p w:rsidR="001C6DD9" w:rsidRPr="00F76E26" w:rsidRDefault="001C6DD9" w:rsidP="001C6DD9">
      <w:pPr>
        <w:pStyle w:val="ListParagraph"/>
        <w:rPr>
          <w:sz w:val="28"/>
          <w:szCs w:val="28"/>
        </w:rPr>
      </w:pPr>
    </w:p>
    <w:p w:rsidR="00172120" w:rsidRDefault="001C6DD9" w:rsidP="001C6DD9">
      <w:pPr>
        <w:pStyle w:val="ListParagraph"/>
        <w:numPr>
          <w:ilvl w:val="0"/>
          <w:numId w:val="1"/>
        </w:numPr>
        <w:rPr>
          <w:sz w:val="28"/>
          <w:szCs w:val="28"/>
        </w:rPr>
      </w:pPr>
      <w:r w:rsidRPr="00F76E26">
        <w:rPr>
          <w:sz w:val="28"/>
          <w:szCs w:val="28"/>
        </w:rPr>
        <w:t xml:space="preserve">Provide three examples of how you could apply differentiated instruction to these learning activities and/or assessments. </w:t>
      </w:r>
    </w:p>
    <w:p w:rsidR="001C6DD9" w:rsidRPr="004B650B" w:rsidRDefault="00172120" w:rsidP="004B650B">
      <w:pPr>
        <w:ind w:left="360"/>
        <w:rPr>
          <w:i/>
          <w:sz w:val="28"/>
          <w:szCs w:val="28"/>
        </w:rPr>
      </w:pPr>
      <w:r w:rsidRPr="004B650B">
        <w:rPr>
          <w:sz w:val="28"/>
          <w:szCs w:val="28"/>
        </w:rPr>
        <w:tab/>
      </w:r>
      <w:r w:rsidR="004B650B">
        <w:rPr>
          <w:sz w:val="28"/>
          <w:szCs w:val="28"/>
        </w:rPr>
        <w:tab/>
      </w:r>
      <w:r w:rsidRPr="004B650B">
        <w:rPr>
          <w:i/>
          <w:sz w:val="28"/>
          <w:szCs w:val="28"/>
        </w:rPr>
        <w:t>Have students construct a presentation</w:t>
      </w:r>
      <w:proofErr w:type="gramStart"/>
      <w:r w:rsidRPr="004B650B">
        <w:rPr>
          <w:i/>
          <w:sz w:val="28"/>
          <w:szCs w:val="28"/>
        </w:rPr>
        <w:t xml:space="preserve">, </w:t>
      </w:r>
      <w:r w:rsidR="004B7976" w:rsidRPr="004B650B">
        <w:rPr>
          <w:i/>
          <w:sz w:val="28"/>
          <w:szCs w:val="28"/>
        </w:rPr>
        <w:t xml:space="preserve"> showing</w:t>
      </w:r>
      <w:proofErr w:type="gramEnd"/>
      <w:r w:rsidR="004B7976" w:rsidRPr="004B650B">
        <w:rPr>
          <w:i/>
          <w:sz w:val="28"/>
          <w:szCs w:val="28"/>
        </w:rPr>
        <w:t xml:space="preserve"> their findings and research through use of a Graphic Organizer,  constructing a timeline, or creating a map showing demographics, significant incidents / battles, as well as charts</w:t>
      </w:r>
    </w:p>
    <w:p w:rsidR="001C6DD9" w:rsidRPr="00F76E26" w:rsidRDefault="001C6DD9" w:rsidP="001C6DD9">
      <w:pPr>
        <w:rPr>
          <w:sz w:val="28"/>
          <w:szCs w:val="28"/>
        </w:rPr>
      </w:pPr>
      <w:r w:rsidRPr="00F76E26">
        <w:rPr>
          <w:sz w:val="28"/>
          <w:szCs w:val="28"/>
        </w:rPr>
        <w:t xml:space="preserve">The Elementary Education </w:t>
      </w:r>
      <w:proofErr w:type="gramStart"/>
      <w:r w:rsidRPr="00F76E26">
        <w:rPr>
          <w:sz w:val="28"/>
          <w:szCs w:val="28"/>
        </w:rPr>
        <w:t>will</w:t>
      </w:r>
      <w:proofErr w:type="gramEnd"/>
      <w:r w:rsidRPr="00F76E26">
        <w:rPr>
          <w:sz w:val="28"/>
          <w:szCs w:val="28"/>
        </w:rPr>
        <w:t xml:space="preserve"> read/analyze the section entitled “Start Locally a</w:t>
      </w:r>
      <w:r w:rsidR="00BD2701">
        <w:rPr>
          <w:sz w:val="28"/>
          <w:szCs w:val="28"/>
        </w:rPr>
        <w:t>nd Connect Globally”</w:t>
      </w:r>
      <w:r w:rsidR="00F76E26" w:rsidRPr="00F76E26">
        <w:rPr>
          <w:sz w:val="28"/>
          <w:szCs w:val="28"/>
        </w:rPr>
        <w:t>.</w:t>
      </w:r>
    </w:p>
    <w:p w:rsidR="001C6DD9" w:rsidRDefault="001C6DD9" w:rsidP="001C6DD9">
      <w:pPr>
        <w:rPr>
          <w:sz w:val="28"/>
          <w:szCs w:val="28"/>
        </w:rPr>
      </w:pPr>
      <w:r w:rsidRPr="00F76E26">
        <w:rPr>
          <w:sz w:val="28"/>
          <w:szCs w:val="28"/>
        </w:rPr>
        <w:t>The Secondary Education groups will read/an</w:t>
      </w:r>
      <w:r w:rsidR="00BD2701">
        <w:rPr>
          <w:sz w:val="28"/>
          <w:szCs w:val="28"/>
        </w:rPr>
        <w:t xml:space="preserve">alyze </w:t>
      </w:r>
      <w:r w:rsidR="00F76E26" w:rsidRPr="00F76E26">
        <w:rPr>
          <w:sz w:val="28"/>
          <w:szCs w:val="28"/>
        </w:rPr>
        <w:t>the sec</w:t>
      </w:r>
      <w:r w:rsidR="00BD2701">
        <w:rPr>
          <w:sz w:val="28"/>
          <w:szCs w:val="28"/>
        </w:rPr>
        <w:t>tion entitled “Repo</w:t>
      </w:r>
      <w:r w:rsidR="005453A5">
        <w:rPr>
          <w:sz w:val="28"/>
          <w:szCs w:val="28"/>
        </w:rPr>
        <w:t>rting Out”.</w:t>
      </w:r>
    </w:p>
    <w:p w:rsidR="00BD2701" w:rsidRDefault="00BD2701" w:rsidP="001C6DD9">
      <w:pPr>
        <w:rPr>
          <w:sz w:val="28"/>
          <w:szCs w:val="28"/>
        </w:rPr>
      </w:pPr>
      <w:r w:rsidRPr="005453A5">
        <w:rPr>
          <w:b/>
          <w:sz w:val="28"/>
          <w:szCs w:val="28"/>
        </w:rPr>
        <w:t>Both groups will read/analyze the sectio</w:t>
      </w:r>
      <w:r w:rsidR="00437450">
        <w:rPr>
          <w:b/>
          <w:sz w:val="28"/>
          <w:szCs w:val="28"/>
        </w:rPr>
        <w:t>n entitled “Common Experiences and Critical Perspectives in World History</w:t>
      </w:r>
      <w:bookmarkStart w:id="0" w:name="_GoBack"/>
      <w:bookmarkEnd w:id="0"/>
      <w:r w:rsidR="005453A5" w:rsidRPr="005453A5">
        <w:rPr>
          <w:b/>
          <w:sz w:val="28"/>
          <w:szCs w:val="28"/>
        </w:rPr>
        <w:t>” addressing the applicable bullets</w:t>
      </w:r>
      <w:r w:rsidR="005453A5">
        <w:rPr>
          <w:sz w:val="28"/>
          <w:szCs w:val="28"/>
        </w:rPr>
        <w:t xml:space="preserve">. </w:t>
      </w:r>
    </w:p>
    <w:p w:rsidR="00BD2701" w:rsidRDefault="00BD2701" w:rsidP="001C6DD9">
      <w:pPr>
        <w:rPr>
          <w:sz w:val="28"/>
          <w:szCs w:val="28"/>
        </w:rPr>
      </w:pPr>
      <w:r>
        <w:rPr>
          <w:sz w:val="28"/>
          <w:szCs w:val="28"/>
        </w:rPr>
        <w:t xml:space="preserve">Create a presentation addressing the bullets and post this to the Week 5 Activities page on the Wiki. </w:t>
      </w:r>
    </w:p>
    <w:p w:rsidR="00BD2701" w:rsidRDefault="00BD2701" w:rsidP="001C6DD9">
      <w:pPr>
        <w:rPr>
          <w:sz w:val="28"/>
          <w:szCs w:val="28"/>
        </w:rPr>
      </w:pPr>
    </w:p>
    <w:p w:rsidR="00BD2701" w:rsidRDefault="00BD2701" w:rsidP="001C6DD9">
      <w:pPr>
        <w:rPr>
          <w:sz w:val="28"/>
          <w:szCs w:val="28"/>
        </w:rPr>
      </w:pPr>
    </w:p>
    <w:p w:rsidR="00BD2701" w:rsidRDefault="00BD2701" w:rsidP="001C6DD9">
      <w:pPr>
        <w:rPr>
          <w:sz w:val="28"/>
          <w:szCs w:val="28"/>
        </w:rPr>
      </w:pPr>
    </w:p>
    <w:p w:rsidR="00BD2701" w:rsidRPr="00F76E26" w:rsidRDefault="00BD2701" w:rsidP="001C6DD9">
      <w:pPr>
        <w:rPr>
          <w:sz w:val="28"/>
          <w:szCs w:val="28"/>
        </w:rPr>
      </w:pPr>
    </w:p>
    <w:sectPr w:rsidR="00BD2701" w:rsidRPr="00F76E26" w:rsidSect="00521750">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976" w:rsidRDefault="004B7976" w:rsidP="00F76E26">
      <w:pPr>
        <w:spacing w:after="0"/>
      </w:pPr>
      <w:r>
        <w:separator/>
      </w:r>
    </w:p>
  </w:endnote>
  <w:endnote w:type="continuationSeparator" w:id="0">
    <w:p w:rsidR="004B7976" w:rsidRDefault="004B7976" w:rsidP="00F76E2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976" w:rsidRDefault="004B7976" w:rsidP="00F76E26">
      <w:pPr>
        <w:spacing w:after="0"/>
      </w:pPr>
      <w:r>
        <w:separator/>
      </w:r>
    </w:p>
  </w:footnote>
  <w:footnote w:type="continuationSeparator" w:id="0">
    <w:p w:rsidR="004B7976" w:rsidRDefault="004B7976" w:rsidP="00F76E2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976" w:rsidRPr="00F76E26" w:rsidRDefault="004B7976" w:rsidP="00F76E26">
    <w:pPr>
      <w:pStyle w:val="Header"/>
      <w:jc w:val="center"/>
      <w:rPr>
        <w:b/>
        <w:sz w:val="28"/>
        <w:szCs w:val="28"/>
      </w:rPr>
    </w:pPr>
    <w:r w:rsidRPr="00F76E26">
      <w:rPr>
        <w:b/>
        <w:sz w:val="28"/>
        <w:szCs w:val="28"/>
      </w:rPr>
      <w:t>HIST 390/ELED 310</w:t>
    </w:r>
  </w:p>
  <w:p w:rsidR="004B7976" w:rsidRPr="00F76E26" w:rsidRDefault="004B7976" w:rsidP="00F76E26">
    <w:pPr>
      <w:pStyle w:val="Header"/>
      <w:jc w:val="center"/>
      <w:rPr>
        <w:b/>
        <w:sz w:val="28"/>
        <w:szCs w:val="28"/>
      </w:rPr>
    </w:pPr>
    <w:r w:rsidRPr="00F76E26">
      <w:rPr>
        <w:b/>
        <w:sz w:val="28"/>
        <w:szCs w:val="28"/>
      </w:rPr>
      <w:t>History/Social Studies Methods</w:t>
    </w:r>
  </w:p>
  <w:p w:rsidR="004B7976" w:rsidRDefault="004B797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956AA"/>
    <w:multiLevelType w:val="hybridMultilevel"/>
    <w:tmpl w:val="35E87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1C6DD9"/>
    <w:rsid w:val="00172120"/>
    <w:rsid w:val="001C6DD9"/>
    <w:rsid w:val="00283E63"/>
    <w:rsid w:val="00286C6D"/>
    <w:rsid w:val="003F0C9B"/>
    <w:rsid w:val="00437450"/>
    <w:rsid w:val="004B650B"/>
    <w:rsid w:val="004B7976"/>
    <w:rsid w:val="004F1EC6"/>
    <w:rsid w:val="004F6945"/>
    <w:rsid w:val="00514268"/>
    <w:rsid w:val="00521750"/>
    <w:rsid w:val="00533948"/>
    <w:rsid w:val="005453A5"/>
    <w:rsid w:val="005F7930"/>
    <w:rsid w:val="006D5C30"/>
    <w:rsid w:val="00752D48"/>
    <w:rsid w:val="007A3F5A"/>
    <w:rsid w:val="00A767CD"/>
    <w:rsid w:val="00BD2701"/>
    <w:rsid w:val="00D51F29"/>
    <w:rsid w:val="00D564A4"/>
    <w:rsid w:val="00F76E26"/>
  </w:rsids>
  <m:mathPr>
    <m:mathFont m:val="Palatino Linotyp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75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C6DD9"/>
    <w:pPr>
      <w:ind w:left="720"/>
      <w:contextualSpacing/>
    </w:pPr>
  </w:style>
  <w:style w:type="paragraph" w:styleId="Header">
    <w:name w:val="header"/>
    <w:basedOn w:val="Normal"/>
    <w:link w:val="HeaderChar"/>
    <w:uiPriority w:val="99"/>
    <w:unhideWhenUsed/>
    <w:rsid w:val="00F76E26"/>
    <w:pPr>
      <w:tabs>
        <w:tab w:val="center" w:pos="4680"/>
        <w:tab w:val="right" w:pos="9360"/>
      </w:tabs>
      <w:spacing w:after="0"/>
    </w:pPr>
  </w:style>
  <w:style w:type="character" w:customStyle="1" w:styleId="HeaderChar">
    <w:name w:val="Header Char"/>
    <w:basedOn w:val="DefaultParagraphFont"/>
    <w:link w:val="Header"/>
    <w:uiPriority w:val="99"/>
    <w:rsid w:val="00F76E26"/>
  </w:style>
  <w:style w:type="paragraph" w:styleId="Footer">
    <w:name w:val="footer"/>
    <w:basedOn w:val="Normal"/>
    <w:link w:val="FooterChar"/>
    <w:uiPriority w:val="99"/>
    <w:unhideWhenUsed/>
    <w:rsid w:val="00F76E26"/>
    <w:pPr>
      <w:tabs>
        <w:tab w:val="center" w:pos="4680"/>
        <w:tab w:val="right" w:pos="9360"/>
      </w:tabs>
      <w:spacing w:after="0"/>
    </w:pPr>
  </w:style>
  <w:style w:type="character" w:customStyle="1" w:styleId="FooterChar">
    <w:name w:val="Footer Char"/>
    <w:basedOn w:val="DefaultParagraphFont"/>
    <w:link w:val="Footer"/>
    <w:uiPriority w:val="99"/>
    <w:rsid w:val="00F76E26"/>
  </w:style>
  <w:style w:type="paragraph" w:styleId="BalloonText">
    <w:name w:val="Balloon Text"/>
    <w:basedOn w:val="Normal"/>
    <w:link w:val="BalloonTextChar"/>
    <w:uiPriority w:val="99"/>
    <w:semiHidden/>
    <w:unhideWhenUsed/>
    <w:rsid w:val="00F76E2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E2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DD9"/>
    <w:pPr>
      <w:ind w:left="720"/>
      <w:contextualSpacing/>
    </w:pPr>
  </w:style>
  <w:style w:type="paragraph" w:styleId="Header">
    <w:name w:val="header"/>
    <w:basedOn w:val="Normal"/>
    <w:link w:val="HeaderChar"/>
    <w:uiPriority w:val="99"/>
    <w:unhideWhenUsed/>
    <w:rsid w:val="00F76E26"/>
    <w:pPr>
      <w:tabs>
        <w:tab w:val="center" w:pos="4680"/>
        <w:tab w:val="right" w:pos="9360"/>
      </w:tabs>
      <w:spacing w:after="0"/>
    </w:pPr>
  </w:style>
  <w:style w:type="character" w:customStyle="1" w:styleId="HeaderChar">
    <w:name w:val="Header Char"/>
    <w:basedOn w:val="DefaultParagraphFont"/>
    <w:link w:val="Header"/>
    <w:uiPriority w:val="99"/>
    <w:rsid w:val="00F76E26"/>
  </w:style>
  <w:style w:type="paragraph" w:styleId="Footer">
    <w:name w:val="footer"/>
    <w:basedOn w:val="Normal"/>
    <w:link w:val="FooterChar"/>
    <w:uiPriority w:val="99"/>
    <w:unhideWhenUsed/>
    <w:rsid w:val="00F76E26"/>
    <w:pPr>
      <w:tabs>
        <w:tab w:val="center" w:pos="4680"/>
        <w:tab w:val="right" w:pos="9360"/>
      </w:tabs>
      <w:spacing w:after="0"/>
    </w:pPr>
  </w:style>
  <w:style w:type="character" w:customStyle="1" w:styleId="FooterChar">
    <w:name w:val="Footer Char"/>
    <w:basedOn w:val="DefaultParagraphFont"/>
    <w:link w:val="Footer"/>
    <w:uiPriority w:val="99"/>
    <w:rsid w:val="00F76E26"/>
  </w:style>
  <w:style w:type="paragraph" w:styleId="BalloonText">
    <w:name w:val="Balloon Text"/>
    <w:basedOn w:val="Normal"/>
    <w:link w:val="BalloonTextChar"/>
    <w:uiPriority w:val="99"/>
    <w:semiHidden/>
    <w:unhideWhenUsed/>
    <w:rsid w:val="00F76E2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E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192</Words>
  <Characters>1100</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Paul Green</cp:lastModifiedBy>
  <cp:revision>3</cp:revision>
  <cp:lastPrinted>2015-11-18T04:18:00Z</cp:lastPrinted>
  <dcterms:created xsi:type="dcterms:W3CDTF">2015-11-18T04:19:00Z</dcterms:created>
  <dcterms:modified xsi:type="dcterms:W3CDTF">2015-11-18T09:56:00Z</dcterms:modified>
</cp:coreProperties>
</file>